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8"/>
        <w:gridCol w:w="2002"/>
        <w:gridCol w:w="2917"/>
        <w:gridCol w:w="4579"/>
        <w:gridCol w:w="3651"/>
      </w:tblGrid>
      <w:tr w:rsidR="00D66F6E" w:rsidRPr="00C01229" w14:paraId="52F8695C" w14:textId="77777777" w:rsidTr="0001062F">
        <w:trPr>
          <w:trHeight w:val="590"/>
        </w:trPr>
        <w:tc>
          <w:tcPr>
            <w:tcW w:w="13747" w:type="dxa"/>
            <w:gridSpan w:val="5"/>
          </w:tcPr>
          <w:p w14:paraId="75486EF9" w14:textId="1EC66E55" w:rsidR="00B10309" w:rsidRPr="00C01229" w:rsidRDefault="00B10309" w:rsidP="00B10309">
            <w:pPr>
              <w:pStyle w:val="Header"/>
              <w:pBdr>
                <w:bottom w:val="single" w:sz="4" w:space="1" w:color="auto"/>
              </w:pBdr>
              <w:jc w:val="both"/>
              <w:rPr>
                <w:rFonts w:ascii="Book Antiqua" w:hAnsi="Book Antiqua" w:cs="Times New Roman"/>
                <w:b/>
              </w:rPr>
            </w:pPr>
            <w:r w:rsidRPr="00C01229">
              <w:rPr>
                <w:rFonts w:ascii="Book Antiqua" w:hAnsi="Book Antiqua" w:cs="Times New Roman"/>
                <w:b/>
              </w:rPr>
              <w:t xml:space="preserve">Clarification No-I dated </w:t>
            </w:r>
            <w:r w:rsidR="00604FE4">
              <w:rPr>
                <w:rFonts w:ascii="Book Antiqua" w:hAnsi="Book Antiqua" w:cs="Times New Roman"/>
                <w:b/>
              </w:rPr>
              <w:t>21</w:t>
            </w:r>
            <w:r w:rsidRPr="00C01229">
              <w:rPr>
                <w:rFonts w:ascii="Book Antiqua" w:hAnsi="Book Antiqua" w:cs="Times New Roman"/>
                <w:b/>
              </w:rPr>
              <w:t>.11</w:t>
            </w:r>
            <w:bookmarkStart w:id="0" w:name="_GoBack"/>
            <w:bookmarkEnd w:id="0"/>
            <w:r w:rsidRPr="00C01229">
              <w:rPr>
                <w:rFonts w:ascii="Book Antiqua" w:hAnsi="Book Antiqua" w:cs="Times New Roman"/>
                <w:b/>
              </w:rPr>
              <w:t>.2024 to Bidding Documents for Communication Equipment Package FOTE-03: Communication Equipment (SDH) Supply and Installation under Communication System Schemes in 20th NCT. Specification Nos.: CC/NT/W-COMM/DOM/A02/24/12753.</w:t>
            </w:r>
          </w:p>
          <w:p w14:paraId="1AFF65FD" w14:textId="4B6B7A87" w:rsidR="00D66F6E" w:rsidRPr="00C01229" w:rsidRDefault="00D66F6E" w:rsidP="0084524A">
            <w:pPr>
              <w:pStyle w:val="TableParagraph"/>
              <w:spacing w:before="94"/>
              <w:ind w:left="35" w:right="8"/>
              <w:jc w:val="center"/>
              <w:rPr>
                <w:rFonts w:ascii="Book Antiqua" w:hAnsi="Book Antiqua"/>
                <w:b/>
              </w:rPr>
            </w:pPr>
          </w:p>
        </w:tc>
      </w:tr>
      <w:tr w:rsidR="00D66F6E" w:rsidRPr="00C01229" w14:paraId="38605785" w14:textId="77777777" w:rsidTr="005B68B1">
        <w:trPr>
          <w:trHeight w:val="366"/>
        </w:trPr>
        <w:tc>
          <w:tcPr>
            <w:tcW w:w="598" w:type="dxa"/>
          </w:tcPr>
          <w:p w14:paraId="1EEECF15" w14:textId="77777777" w:rsidR="00D66F6E" w:rsidRPr="00C01229" w:rsidRDefault="00DD206D">
            <w:pPr>
              <w:pStyle w:val="TableParagraph"/>
              <w:spacing w:before="103"/>
              <w:ind w:left="24"/>
              <w:rPr>
                <w:rFonts w:ascii="Book Antiqua" w:hAnsi="Book Antiqua"/>
                <w:b/>
              </w:rPr>
            </w:pPr>
            <w:r w:rsidRPr="00C01229">
              <w:rPr>
                <w:rFonts w:ascii="Book Antiqua" w:hAnsi="Book Antiqua"/>
                <w:b/>
              </w:rPr>
              <w:t>Sl.</w:t>
            </w:r>
            <w:r w:rsidRPr="00C01229">
              <w:rPr>
                <w:rFonts w:ascii="Book Antiqua" w:hAnsi="Book Antiqua"/>
                <w:b/>
                <w:spacing w:val="4"/>
              </w:rPr>
              <w:t xml:space="preserve"> </w:t>
            </w:r>
            <w:r w:rsidRPr="00C01229">
              <w:rPr>
                <w:rFonts w:ascii="Book Antiqua" w:hAnsi="Book Antiqua"/>
                <w:b/>
                <w:spacing w:val="-5"/>
              </w:rPr>
              <w:t>No.</w:t>
            </w:r>
          </w:p>
        </w:tc>
        <w:tc>
          <w:tcPr>
            <w:tcW w:w="2002" w:type="dxa"/>
          </w:tcPr>
          <w:p w14:paraId="4A8B183E" w14:textId="398DFF67" w:rsidR="00D66F6E" w:rsidRPr="00C01229" w:rsidRDefault="00DD206D">
            <w:pPr>
              <w:pStyle w:val="TableParagraph"/>
              <w:spacing w:before="103"/>
              <w:ind w:left="32"/>
              <w:rPr>
                <w:rFonts w:ascii="Book Antiqua" w:hAnsi="Book Antiqua"/>
                <w:b/>
              </w:rPr>
            </w:pPr>
            <w:r w:rsidRPr="00C01229">
              <w:rPr>
                <w:rFonts w:ascii="Book Antiqua" w:hAnsi="Book Antiqua"/>
                <w:b/>
              </w:rPr>
              <w:t xml:space="preserve">Ref </w:t>
            </w:r>
            <w:r w:rsidR="00C01229" w:rsidRPr="00C01229">
              <w:rPr>
                <w:rFonts w:ascii="Book Antiqua" w:hAnsi="Book Antiqua"/>
                <w:b/>
              </w:rPr>
              <w:t>/Clause no.</w:t>
            </w:r>
          </w:p>
        </w:tc>
        <w:tc>
          <w:tcPr>
            <w:tcW w:w="2917" w:type="dxa"/>
          </w:tcPr>
          <w:p w14:paraId="552DE487" w14:textId="167B437F" w:rsidR="00D66F6E" w:rsidRPr="00C01229" w:rsidRDefault="00C01229">
            <w:pPr>
              <w:pStyle w:val="TableParagraph"/>
              <w:spacing w:before="103"/>
              <w:ind w:left="32"/>
              <w:rPr>
                <w:rFonts w:ascii="Book Antiqua" w:hAnsi="Book Antiqua"/>
                <w:b/>
              </w:rPr>
            </w:pPr>
            <w:r w:rsidRPr="00C01229">
              <w:rPr>
                <w:rFonts w:ascii="Book Antiqua" w:hAnsi="Book Antiqua"/>
                <w:b/>
              </w:rPr>
              <w:t>Description</w:t>
            </w:r>
          </w:p>
        </w:tc>
        <w:tc>
          <w:tcPr>
            <w:tcW w:w="4579" w:type="dxa"/>
          </w:tcPr>
          <w:p w14:paraId="5CA4FF5C" w14:textId="77777777" w:rsidR="00D66F6E" w:rsidRPr="00C01229" w:rsidRDefault="00DD206D">
            <w:pPr>
              <w:pStyle w:val="TableParagraph"/>
              <w:spacing w:before="103"/>
              <w:ind w:left="72"/>
              <w:rPr>
                <w:rFonts w:ascii="Book Antiqua" w:hAnsi="Book Antiqua"/>
                <w:b/>
              </w:rPr>
            </w:pPr>
            <w:r w:rsidRPr="00C01229">
              <w:rPr>
                <w:rFonts w:ascii="Book Antiqua" w:hAnsi="Book Antiqua"/>
                <w:b/>
              </w:rPr>
              <w:t>Bidders</w:t>
            </w:r>
            <w:r w:rsidRPr="00C01229">
              <w:rPr>
                <w:rFonts w:ascii="Book Antiqua" w:hAnsi="Book Antiqua"/>
                <w:b/>
                <w:spacing w:val="10"/>
              </w:rPr>
              <w:t xml:space="preserve"> </w:t>
            </w:r>
            <w:r w:rsidRPr="00C01229">
              <w:rPr>
                <w:rFonts w:ascii="Book Antiqua" w:hAnsi="Book Antiqua"/>
                <w:b/>
                <w:spacing w:val="-2"/>
              </w:rPr>
              <w:t>Queries</w:t>
            </w:r>
          </w:p>
        </w:tc>
        <w:tc>
          <w:tcPr>
            <w:tcW w:w="3651" w:type="dxa"/>
          </w:tcPr>
          <w:p w14:paraId="40E550FA" w14:textId="4056D4E3" w:rsidR="00D66F6E" w:rsidRPr="00C01229" w:rsidRDefault="00C01229">
            <w:pPr>
              <w:pStyle w:val="TableParagraph"/>
              <w:spacing w:before="103"/>
              <w:ind w:left="36"/>
              <w:rPr>
                <w:rFonts w:ascii="Book Antiqua" w:hAnsi="Book Antiqua"/>
                <w:b/>
              </w:rPr>
            </w:pPr>
            <w:r w:rsidRPr="00C01229">
              <w:rPr>
                <w:rFonts w:ascii="Book Antiqua" w:hAnsi="Book Antiqua"/>
                <w:b/>
              </w:rPr>
              <w:t>Clarification</w:t>
            </w:r>
          </w:p>
        </w:tc>
      </w:tr>
      <w:tr w:rsidR="00F143EA" w:rsidRPr="00C01229" w14:paraId="75B8B160" w14:textId="77777777" w:rsidTr="005B68B1">
        <w:trPr>
          <w:trHeight w:val="1266"/>
        </w:trPr>
        <w:tc>
          <w:tcPr>
            <w:tcW w:w="598" w:type="dxa"/>
          </w:tcPr>
          <w:p w14:paraId="37AF35E8" w14:textId="04E027B8" w:rsidR="00F143EA" w:rsidRPr="00C01229" w:rsidRDefault="00F143EA" w:rsidP="00F143EA">
            <w:pPr>
              <w:pStyle w:val="TableParagraph"/>
              <w:ind w:left="39"/>
              <w:jc w:val="center"/>
              <w:rPr>
                <w:rFonts w:ascii="Book Antiqua" w:hAnsi="Book Antiqua"/>
              </w:rPr>
            </w:pPr>
            <w:r w:rsidRPr="00C01229">
              <w:rPr>
                <w:rFonts w:ascii="Book Antiqua" w:hAnsi="Book Antiqua"/>
                <w:color w:val="000000"/>
              </w:rPr>
              <w:t>1</w:t>
            </w:r>
          </w:p>
        </w:tc>
        <w:tc>
          <w:tcPr>
            <w:tcW w:w="2002" w:type="dxa"/>
          </w:tcPr>
          <w:p w14:paraId="0017409C" w14:textId="6F01EDA5" w:rsidR="00F143EA" w:rsidRPr="00C01229" w:rsidRDefault="00F143EA" w:rsidP="00F143EA">
            <w:pPr>
              <w:pStyle w:val="TableParagraph"/>
              <w:ind w:left="31"/>
              <w:rPr>
                <w:rFonts w:ascii="Book Antiqua" w:hAnsi="Book Antiqua"/>
              </w:rPr>
            </w:pPr>
          </w:p>
        </w:tc>
        <w:tc>
          <w:tcPr>
            <w:tcW w:w="2917" w:type="dxa"/>
          </w:tcPr>
          <w:p w14:paraId="62F204CE" w14:textId="5F2CEF4B" w:rsidR="00F143EA" w:rsidRPr="00C01229" w:rsidRDefault="00C01229" w:rsidP="00F143EA">
            <w:pPr>
              <w:pStyle w:val="TableParagraph"/>
              <w:spacing w:line="261" w:lineRule="auto"/>
              <w:ind w:left="31" w:right="77"/>
              <w:rPr>
                <w:rFonts w:ascii="Book Antiqua" w:hAnsi="Book Antiqua"/>
                <w:i/>
                <w:iCs/>
              </w:rPr>
            </w:pPr>
            <w:r w:rsidRPr="00C01229">
              <w:rPr>
                <w:rFonts w:ascii="Book Antiqua" w:eastAsia="Times New Roman" w:hAnsi="Book Antiqua" w:cs="Times New Roman"/>
                <w:b/>
                <w:bCs/>
              </w:rPr>
              <w:t>SOR and Equipment Discrepancy</w:t>
            </w:r>
          </w:p>
        </w:tc>
        <w:tc>
          <w:tcPr>
            <w:tcW w:w="4579" w:type="dxa"/>
          </w:tcPr>
          <w:p w14:paraId="5380BA6F" w14:textId="77777777" w:rsidR="007852BF" w:rsidRPr="00C01229" w:rsidRDefault="007852BF" w:rsidP="00C81D76">
            <w:pPr>
              <w:widowControl/>
              <w:autoSpaceDE/>
              <w:autoSpaceDN/>
              <w:spacing w:before="100" w:beforeAutospacing="1" w:after="100" w:afterAutospacing="1"/>
              <w:ind w:right="37"/>
              <w:jc w:val="both"/>
              <w:rPr>
                <w:rFonts w:ascii="Book Antiqua" w:eastAsia="Times New Roman" w:hAnsi="Book Antiqua" w:cs="Times New Roman"/>
              </w:rPr>
            </w:pPr>
            <w:r w:rsidRPr="00C01229">
              <w:rPr>
                <w:rFonts w:ascii="Book Antiqua" w:eastAsia="Times New Roman" w:hAnsi="Book Antiqua" w:cs="Times New Roman"/>
                <w:b/>
                <w:bCs/>
              </w:rPr>
              <w:t>SOR and Equipment Discrepancy</w:t>
            </w:r>
            <w:r w:rsidRPr="00C01229">
              <w:rPr>
                <w:rFonts w:ascii="Book Antiqua" w:eastAsia="Times New Roman" w:hAnsi="Book Antiqua" w:cs="Times New Roman"/>
              </w:rPr>
              <w:t>:</w:t>
            </w:r>
            <w:r w:rsidRPr="00C01229">
              <w:rPr>
                <w:rFonts w:ascii="Book Antiqua" w:eastAsia="Times New Roman" w:hAnsi="Book Antiqua" w:cs="Times New Roman"/>
              </w:rPr>
              <w:br/>
              <w:t>The SOR specifies STM-4 equipment spares, whereas STM-16 equipment is mentioned for the main system. Kindly clarify this discrepancy.</w:t>
            </w:r>
          </w:p>
          <w:p w14:paraId="54B2C815" w14:textId="2F470B14" w:rsidR="00F143EA" w:rsidRPr="00C01229" w:rsidRDefault="00F143EA" w:rsidP="00F143EA">
            <w:pPr>
              <w:pStyle w:val="TableParagraph"/>
              <w:spacing w:line="261" w:lineRule="auto"/>
              <w:ind w:left="30" w:right="163"/>
              <w:rPr>
                <w:rFonts w:ascii="Book Antiqua" w:hAnsi="Book Antiqua"/>
              </w:rPr>
            </w:pPr>
          </w:p>
        </w:tc>
        <w:tc>
          <w:tcPr>
            <w:tcW w:w="3651" w:type="dxa"/>
          </w:tcPr>
          <w:p w14:paraId="3FB74AAD" w14:textId="7E613C22" w:rsidR="00F143EA" w:rsidRPr="00C01229" w:rsidRDefault="005D5079" w:rsidP="00B31491">
            <w:pPr>
              <w:pStyle w:val="TableParagraph"/>
              <w:spacing w:line="261" w:lineRule="auto"/>
              <w:ind w:right="163"/>
              <w:jc w:val="both"/>
              <w:rPr>
                <w:rFonts w:ascii="Book Antiqua" w:hAnsi="Book Antiqua"/>
                <w:color w:val="000000"/>
              </w:rPr>
            </w:pPr>
            <w:r>
              <w:rPr>
                <w:rFonts w:ascii="Book Antiqua" w:hAnsi="Book Antiqua"/>
                <w:color w:val="000000"/>
              </w:rPr>
              <w:t>In this regard, n</w:t>
            </w:r>
            <w:r w:rsidR="00053066" w:rsidRPr="00C01229">
              <w:rPr>
                <w:rFonts w:ascii="Book Antiqua" w:hAnsi="Book Antiqua"/>
                <w:color w:val="000000"/>
              </w:rPr>
              <w:t>ecessary amendment to bidding document issued</w:t>
            </w:r>
            <w:r>
              <w:rPr>
                <w:rFonts w:ascii="Book Antiqua" w:hAnsi="Book Antiqua"/>
                <w:color w:val="000000"/>
              </w:rPr>
              <w:t xml:space="preserve"> (refer, Amendment-2</w:t>
            </w:r>
            <w:r w:rsidR="00555EC8">
              <w:rPr>
                <w:rFonts w:ascii="Book Antiqua" w:hAnsi="Book Antiqua"/>
                <w:color w:val="000000"/>
              </w:rPr>
              <w:t xml:space="preserve"> dated 20/11/2024</w:t>
            </w:r>
            <w:r>
              <w:rPr>
                <w:rFonts w:ascii="Book Antiqua" w:hAnsi="Book Antiqua"/>
                <w:color w:val="000000"/>
              </w:rPr>
              <w:t>)</w:t>
            </w:r>
            <w:r w:rsidR="00053066" w:rsidRPr="00C01229">
              <w:rPr>
                <w:rFonts w:ascii="Book Antiqua" w:hAnsi="Book Antiqua"/>
                <w:color w:val="000000"/>
              </w:rPr>
              <w:t xml:space="preserve">. </w:t>
            </w:r>
          </w:p>
        </w:tc>
      </w:tr>
      <w:tr w:rsidR="00F143EA" w:rsidRPr="00C01229" w14:paraId="4144DA4C" w14:textId="77777777" w:rsidTr="005B68B1">
        <w:trPr>
          <w:trHeight w:val="933"/>
        </w:trPr>
        <w:tc>
          <w:tcPr>
            <w:tcW w:w="598" w:type="dxa"/>
          </w:tcPr>
          <w:p w14:paraId="2E3C1E4D" w14:textId="306DC3C2" w:rsidR="00F143EA" w:rsidRPr="00C01229" w:rsidRDefault="00F143EA" w:rsidP="00F143EA">
            <w:pPr>
              <w:pStyle w:val="TableParagraph"/>
              <w:ind w:left="39"/>
              <w:jc w:val="center"/>
              <w:rPr>
                <w:rFonts w:ascii="Book Antiqua" w:hAnsi="Book Antiqua"/>
              </w:rPr>
            </w:pPr>
            <w:r w:rsidRPr="00C01229">
              <w:rPr>
                <w:rFonts w:ascii="Book Antiqua" w:hAnsi="Book Antiqua"/>
                <w:color w:val="000000"/>
              </w:rPr>
              <w:t>2</w:t>
            </w:r>
          </w:p>
        </w:tc>
        <w:tc>
          <w:tcPr>
            <w:tcW w:w="2002" w:type="dxa"/>
          </w:tcPr>
          <w:p w14:paraId="6A034216" w14:textId="3DCD593C" w:rsidR="00F143EA" w:rsidRPr="00C01229" w:rsidRDefault="00AE50D0" w:rsidP="00F143EA">
            <w:pPr>
              <w:pStyle w:val="TableParagraph"/>
              <w:spacing w:before="1"/>
              <w:ind w:left="31"/>
              <w:rPr>
                <w:rFonts w:ascii="Book Antiqua" w:hAnsi="Book Antiqua"/>
              </w:rPr>
            </w:pPr>
            <w:r w:rsidRPr="00C01229">
              <w:rPr>
                <w:rFonts w:ascii="Book Antiqua" w:eastAsia="Times New Roman" w:hAnsi="Book Antiqua" w:cs="Times New Roman"/>
                <w:b/>
                <w:bCs/>
              </w:rPr>
              <w:t>Clause 6.5.1.1 - Cybersecurity Tests during SAT</w:t>
            </w:r>
            <w:r w:rsidRPr="00C01229">
              <w:rPr>
                <w:rFonts w:ascii="Book Antiqua" w:eastAsia="Times New Roman" w:hAnsi="Book Antiqua" w:cs="Times New Roman"/>
              </w:rPr>
              <w:t xml:space="preserve"> and </w:t>
            </w:r>
            <w:r w:rsidRPr="00C01229">
              <w:rPr>
                <w:rFonts w:ascii="Book Antiqua" w:eastAsia="Times New Roman" w:hAnsi="Book Antiqua" w:cs="Times New Roman"/>
                <w:b/>
                <w:bCs/>
              </w:rPr>
              <w:t xml:space="preserve">Clause </w:t>
            </w:r>
            <w:r w:rsidRPr="00C01229">
              <w:rPr>
                <w:rFonts w:ascii="Book Antiqua" w:eastAsia="Times New Roman" w:hAnsi="Book Antiqua"/>
                <w:b/>
                <w:bCs/>
              </w:rPr>
              <w:t>6.4 Factory Acceptance Tests in Technical specification</w:t>
            </w:r>
          </w:p>
        </w:tc>
        <w:tc>
          <w:tcPr>
            <w:tcW w:w="2917" w:type="dxa"/>
          </w:tcPr>
          <w:p w14:paraId="67596C26" w14:textId="77777777" w:rsidR="00D6110D" w:rsidRPr="00C01229" w:rsidRDefault="00D6110D" w:rsidP="00520CB1">
            <w:pPr>
              <w:widowControl/>
              <w:autoSpaceDE/>
              <w:autoSpaceDN/>
              <w:spacing w:before="100" w:beforeAutospacing="1" w:after="100" w:afterAutospacing="1"/>
              <w:jc w:val="both"/>
              <w:rPr>
                <w:rFonts w:ascii="Book Antiqua" w:eastAsia="Times New Roman" w:hAnsi="Book Antiqua"/>
                <w:b/>
                <w:bCs/>
              </w:rPr>
            </w:pPr>
            <w:r w:rsidRPr="00C01229">
              <w:rPr>
                <w:rFonts w:ascii="Book Antiqua" w:eastAsia="Times New Roman" w:hAnsi="Book Antiqua" w:cs="Times New Roman"/>
                <w:b/>
                <w:bCs/>
              </w:rPr>
              <w:t>Clause 6.5.1.1 - Cybersecurity Tests during SAT</w:t>
            </w:r>
            <w:r w:rsidRPr="00C01229">
              <w:rPr>
                <w:rFonts w:ascii="Book Antiqua" w:eastAsia="Times New Roman" w:hAnsi="Book Antiqua" w:cs="Times New Roman"/>
              </w:rPr>
              <w:t xml:space="preserve"> and </w:t>
            </w:r>
            <w:r w:rsidRPr="00C01229">
              <w:rPr>
                <w:rFonts w:ascii="Book Antiqua" w:eastAsia="Times New Roman" w:hAnsi="Book Antiqua" w:cs="Times New Roman"/>
                <w:b/>
                <w:bCs/>
              </w:rPr>
              <w:t xml:space="preserve">Clause </w:t>
            </w:r>
            <w:r w:rsidRPr="00C01229">
              <w:rPr>
                <w:rFonts w:ascii="Book Antiqua" w:eastAsia="Times New Roman" w:hAnsi="Book Antiqua"/>
                <w:b/>
                <w:bCs/>
              </w:rPr>
              <w:t>6.4 Factory Acceptance Tests</w:t>
            </w:r>
          </w:p>
          <w:p w14:paraId="1806A6D4" w14:textId="7A56698F" w:rsidR="00D6110D" w:rsidRPr="00C01229" w:rsidRDefault="00D6110D" w:rsidP="00D6110D">
            <w:pPr>
              <w:widowControl/>
              <w:autoSpaceDE/>
              <w:autoSpaceDN/>
              <w:spacing w:before="100" w:beforeAutospacing="1" w:after="100" w:afterAutospacing="1"/>
              <w:rPr>
                <w:rFonts w:ascii="Book Antiqua" w:eastAsia="Times New Roman" w:hAnsi="Book Antiqua" w:cs="Times New Roman"/>
              </w:rPr>
            </w:pPr>
            <w:r w:rsidRPr="00C01229">
              <w:rPr>
                <w:rFonts w:ascii="Book Antiqua" w:eastAsia="Times New Roman" w:hAnsi="Book Antiqua" w:cs="Times New Roman"/>
              </w:rPr>
              <w:t>Under above clauses, the following cybersecurity tests are listed:</w:t>
            </w:r>
            <w:r w:rsidRPr="00C01229">
              <w:rPr>
                <w:rFonts w:ascii="Book Antiqua" w:eastAsia="Times New Roman" w:hAnsi="Book Antiqua"/>
              </w:rPr>
              <w:t xml:space="preserve"> </w:t>
            </w:r>
          </w:p>
          <w:p w14:paraId="523AE3CA" w14:textId="7A519981" w:rsidR="00D6110D" w:rsidRPr="00C01229" w:rsidRDefault="00D6110D" w:rsidP="001802EA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jc w:val="both"/>
              <w:rPr>
                <w:rFonts w:ascii="Book Antiqua" w:eastAsia="Times New Roman" w:hAnsi="Book Antiqua" w:cs="Times New Roman"/>
              </w:rPr>
            </w:pPr>
            <w:r w:rsidRPr="00C01229">
              <w:rPr>
                <w:rFonts w:ascii="Book Antiqua" w:eastAsia="Times New Roman" w:hAnsi="Book Antiqua" w:cs="Times New Roman"/>
              </w:rPr>
              <w:t>Vulnerability assessment</w:t>
            </w:r>
          </w:p>
          <w:p w14:paraId="38418EE1" w14:textId="02DCD702" w:rsidR="00D6110D" w:rsidRPr="00C01229" w:rsidRDefault="00D6110D" w:rsidP="001802EA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spacing w:before="100" w:beforeAutospacing="1" w:after="100" w:afterAutospacing="1"/>
              <w:jc w:val="both"/>
              <w:rPr>
                <w:rFonts w:ascii="Book Antiqua" w:eastAsia="Times New Roman" w:hAnsi="Book Antiqua" w:cs="Times New Roman"/>
              </w:rPr>
            </w:pPr>
            <w:r w:rsidRPr="00C01229">
              <w:rPr>
                <w:rFonts w:ascii="Book Antiqua" w:eastAsia="Times New Roman" w:hAnsi="Book Antiqua" w:cs="Times New Roman"/>
              </w:rPr>
              <w:t>Risk assessment</w:t>
            </w:r>
            <w:r w:rsidRPr="00C01229">
              <w:rPr>
                <w:rFonts w:ascii="Book Antiqua" w:eastAsia="Times New Roman" w:hAnsi="Book Antiqua" w:cs="Times New Roman"/>
              </w:rPr>
              <w:br/>
              <w:t>a. Network architecture validation with respect to design documents</w:t>
            </w:r>
            <w:r w:rsidR="00930B1A" w:rsidRPr="00C01229">
              <w:rPr>
                <w:rFonts w:ascii="Book Antiqua" w:eastAsia="Times New Roman" w:hAnsi="Book Antiqua" w:cs="Times New Roman"/>
              </w:rPr>
              <w:t>.</w:t>
            </w:r>
            <w:r w:rsidRPr="00C01229">
              <w:rPr>
                <w:rFonts w:ascii="Book Antiqua" w:eastAsia="Times New Roman" w:hAnsi="Book Antiqua" w:cs="Times New Roman"/>
              </w:rPr>
              <w:br/>
              <w:t>b. Penetration testing</w:t>
            </w:r>
            <w:r w:rsidR="00930B1A" w:rsidRPr="00C01229">
              <w:rPr>
                <w:rFonts w:ascii="Book Antiqua" w:eastAsia="Times New Roman" w:hAnsi="Book Antiqua" w:cs="Times New Roman"/>
              </w:rPr>
              <w:t>.</w:t>
            </w:r>
            <w:r w:rsidRPr="00C01229">
              <w:rPr>
                <w:rFonts w:ascii="Book Antiqua" w:eastAsia="Times New Roman" w:hAnsi="Book Antiqua" w:cs="Times New Roman"/>
              </w:rPr>
              <w:br/>
              <w:t>c. System hardening test</w:t>
            </w:r>
            <w:r w:rsidR="002E4DC6" w:rsidRPr="00C01229">
              <w:rPr>
                <w:rFonts w:ascii="Book Antiqua" w:eastAsia="Times New Roman" w:hAnsi="Book Antiqua" w:cs="Times New Roman"/>
              </w:rPr>
              <w:t>.</w:t>
            </w:r>
          </w:p>
          <w:p w14:paraId="3AF2FBF8" w14:textId="4C6D4BED" w:rsidR="00F143EA" w:rsidRPr="00C01229" w:rsidRDefault="00F143EA" w:rsidP="00F143EA">
            <w:pPr>
              <w:pStyle w:val="TableParagraph"/>
              <w:spacing w:line="261" w:lineRule="auto"/>
              <w:ind w:left="31" w:right="77"/>
              <w:rPr>
                <w:rFonts w:ascii="Book Antiqua" w:hAnsi="Book Antiqua"/>
              </w:rPr>
            </w:pPr>
          </w:p>
        </w:tc>
        <w:tc>
          <w:tcPr>
            <w:tcW w:w="4579" w:type="dxa"/>
          </w:tcPr>
          <w:p w14:paraId="6CF7A109" w14:textId="77777777" w:rsidR="00C436E5" w:rsidRPr="00C01229" w:rsidRDefault="00C436E5" w:rsidP="00C81D76">
            <w:pPr>
              <w:widowControl/>
              <w:autoSpaceDE/>
              <w:autoSpaceDN/>
              <w:spacing w:before="100" w:beforeAutospacing="1" w:after="100" w:afterAutospacing="1"/>
              <w:ind w:right="37"/>
              <w:jc w:val="both"/>
              <w:rPr>
                <w:rFonts w:ascii="Book Antiqua" w:hAnsi="Book Antiqua" w:cs="Times New Roman"/>
              </w:rPr>
            </w:pPr>
            <w:r w:rsidRPr="00C01229">
              <w:rPr>
                <w:rFonts w:ascii="Book Antiqua" w:hAnsi="Book Antiqua" w:cs="Times New Roman"/>
              </w:rPr>
              <w:t xml:space="preserve">Based on our understanding, these tests cannot be conducted under site/factory </w:t>
            </w:r>
            <w:r w:rsidRPr="00C81D76">
              <w:rPr>
                <w:rFonts w:ascii="Book Antiqua" w:eastAsia="Times New Roman" w:hAnsi="Book Antiqua" w:cs="Times New Roman"/>
              </w:rPr>
              <w:t>conditions</w:t>
            </w:r>
            <w:r w:rsidRPr="00C01229">
              <w:rPr>
                <w:rFonts w:ascii="Book Antiqua" w:hAnsi="Book Antiqua" w:cs="Times New Roman"/>
              </w:rPr>
              <w:t xml:space="preserve">. We recommend removing them from the clause to align with practical execution scenarios. However, self-certification can be provided meeting the </w:t>
            </w:r>
            <w:proofErr w:type="gramStart"/>
            <w:r w:rsidRPr="00C01229">
              <w:rPr>
                <w:rFonts w:ascii="Book Antiqua" w:hAnsi="Book Antiqua" w:cs="Times New Roman"/>
              </w:rPr>
              <w:t>above mentioned</w:t>
            </w:r>
            <w:proofErr w:type="gramEnd"/>
            <w:r w:rsidRPr="00C01229">
              <w:rPr>
                <w:rFonts w:ascii="Book Antiqua" w:hAnsi="Book Antiqua" w:cs="Times New Roman"/>
              </w:rPr>
              <w:t xml:space="preserve"> clause.</w:t>
            </w:r>
          </w:p>
          <w:p w14:paraId="59FDAB55" w14:textId="15E77EC9" w:rsidR="00F143EA" w:rsidRPr="00C01229" w:rsidRDefault="00F143EA" w:rsidP="00F143EA">
            <w:pPr>
              <w:pStyle w:val="TableParagraph"/>
              <w:spacing w:line="261" w:lineRule="auto"/>
              <w:ind w:left="30"/>
              <w:rPr>
                <w:rFonts w:ascii="Book Antiqua" w:hAnsi="Book Antiqua"/>
              </w:rPr>
            </w:pPr>
          </w:p>
        </w:tc>
        <w:tc>
          <w:tcPr>
            <w:tcW w:w="3651" w:type="dxa"/>
          </w:tcPr>
          <w:p w14:paraId="2A0C9F37" w14:textId="114DCE9D" w:rsidR="00F143EA" w:rsidRPr="00C01229" w:rsidRDefault="00930B1A" w:rsidP="00F143EA">
            <w:pPr>
              <w:pStyle w:val="TableParagraph"/>
              <w:spacing w:line="261" w:lineRule="auto"/>
              <w:ind w:left="30" w:right="163"/>
              <w:rPr>
                <w:rFonts w:ascii="Book Antiqua" w:hAnsi="Book Antiqua"/>
                <w:color w:val="000000"/>
              </w:rPr>
            </w:pPr>
            <w:r w:rsidRPr="00C01229">
              <w:rPr>
                <w:rFonts w:ascii="Book Antiqua" w:hAnsi="Book Antiqua"/>
                <w:color w:val="000000"/>
              </w:rPr>
              <w:t>Bidder to comply TS</w:t>
            </w:r>
            <w:r w:rsidR="006B3486">
              <w:rPr>
                <w:rFonts w:ascii="Book Antiqua" w:hAnsi="Book Antiqua"/>
                <w:color w:val="000000"/>
              </w:rPr>
              <w:t xml:space="preserve"> of the Bidding documents</w:t>
            </w:r>
            <w:r w:rsidRPr="00C01229">
              <w:rPr>
                <w:rFonts w:ascii="Book Antiqua" w:hAnsi="Book Antiqua"/>
                <w:color w:val="000000"/>
              </w:rPr>
              <w:t>.</w:t>
            </w:r>
          </w:p>
        </w:tc>
      </w:tr>
    </w:tbl>
    <w:p w14:paraId="7859CE4B" w14:textId="77777777" w:rsidR="00DD206D" w:rsidRPr="00C01229" w:rsidRDefault="00DD206D">
      <w:pPr>
        <w:rPr>
          <w:rFonts w:ascii="Book Antiqua" w:hAnsi="Book Antiqua"/>
        </w:rPr>
      </w:pPr>
    </w:p>
    <w:sectPr w:rsidR="00DD206D" w:rsidRPr="00C01229">
      <w:pgSz w:w="15840" w:h="12240" w:orient="landscape"/>
      <w:pgMar w:top="1060" w:right="940" w:bottom="280" w:left="9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C155A9" w14:textId="77777777" w:rsidR="00792F83" w:rsidRDefault="00792F83" w:rsidP="00953E91">
      <w:r>
        <w:separator/>
      </w:r>
    </w:p>
  </w:endnote>
  <w:endnote w:type="continuationSeparator" w:id="0">
    <w:p w14:paraId="56DE6917" w14:textId="77777777" w:rsidR="00792F83" w:rsidRDefault="00792F83" w:rsidP="00953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323FFA" w14:textId="77777777" w:rsidR="00792F83" w:rsidRDefault="00792F83" w:rsidP="00953E91">
      <w:r>
        <w:separator/>
      </w:r>
    </w:p>
  </w:footnote>
  <w:footnote w:type="continuationSeparator" w:id="0">
    <w:p w14:paraId="3A857213" w14:textId="77777777" w:rsidR="00792F83" w:rsidRDefault="00792F83" w:rsidP="00953E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324909"/>
    <w:multiLevelType w:val="hybridMultilevel"/>
    <w:tmpl w:val="F9F010B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842738"/>
    <w:multiLevelType w:val="multilevel"/>
    <w:tmpl w:val="7BDE6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47D35DC"/>
    <w:multiLevelType w:val="hybridMultilevel"/>
    <w:tmpl w:val="FD1CB7E6"/>
    <w:lvl w:ilvl="0" w:tplc="86F4E368">
      <w:start w:val="1"/>
      <w:numFmt w:val="decimal"/>
      <w:lvlText w:val="%1."/>
      <w:lvlJc w:val="left"/>
      <w:pPr>
        <w:ind w:left="30" w:hanging="14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2"/>
        <w:sz w:val="15"/>
        <w:szCs w:val="15"/>
        <w:lang w:val="en-US" w:eastAsia="en-US" w:bidi="ar-SA"/>
      </w:rPr>
    </w:lvl>
    <w:lvl w:ilvl="1" w:tplc="D18EF520">
      <w:numFmt w:val="bullet"/>
      <w:lvlText w:val="•"/>
      <w:lvlJc w:val="left"/>
      <w:pPr>
        <w:ind w:left="399" w:hanging="149"/>
      </w:pPr>
      <w:rPr>
        <w:rFonts w:hint="default"/>
        <w:lang w:val="en-US" w:eastAsia="en-US" w:bidi="ar-SA"/>
      </w:rPr>
    </w:lvl>
    <w:lvl w:ilvl="2" w:tplc="7F30D192">
      <w:numFmt w:val="bullet"/>
      <w:lvlText w:val="•"/>
      <w:lvlJc w:val="left"/>
      <w:pPr>
        <w:ind w:left="759" w:hanging="149"/>
      </w:pPr>
      <w:rPr>
        <w:rFonts w:hint="default"/>
        <w:lang w:val="en-US" w:eastAsia="en-US" w:bidi="ar-SA"/>
      </w:rPr>
    </w:lvl>
    <w:lvl w:ilvl="3" w:tplc="7BB4122E">
      <w:numFmt w:val="bullet"/>
      <w:lvlText w:val="•"/>
      <w:lvlJc w:val="left"/>
      <w:pPr>
        <w:ind w:left="1118" w:hanging="149"/>
      </w:pPr>
      <w:rPr>
        <w:rFonts w:hint="default"/>
        <w:lang w:val="en-US" w:eastAsia="en-US" w:bidi="ar-SA"/>
      </w:rPr>
    </w:lvl>
    <w:lvl w:ilvl="4" w:tplc="ED22B812">
      <w:numFmt w:val="bullet"/>
      <w:lvlText w:val="•"/>
      <w:lvlJc w:val="left"/>
      <w:pPr>
        <w:ind w:left="1478" w:hanging="149"/>
      </w:pPr>
      <w:rPr>
        <w:rFonts w:hint="default"/>
        <w:lang w:val="en-US" w:eastAsia="en-US" w:bidi="ar-SA"/>
      </w:rPr>
    </w:lvl>
    <w:lvl w:ilvl="5" w:tplc="17C4F88C">
      <w:numFmt w:val="bullet"/>
      <w:lvlText w:val="•"/>
      <w:lvlJc w:val="left"/>
      <w:pPr>
        <w:ind w:left="1838" w:hanging="149"/>
      </w:pPr>
      <w:rPr>
        <w:rFonts w:hint="default"/>
        <w:lang w:val="en-US" w:eastAsia="en-US" w:bidi="ar-SA"/>
      </w:rPr>
    </w:lvl>
    <w:lvl w:ilvl="6" w:tplc="C5D28C68">
      <w:numFmt w:val="bullet"/>
      <w:lvlText w:val="•"/>
      <w:lvlJc w:val="left"/>
      <w:pPr>
        <w:ind w:left="2197" w:hanging="149"/>
      </w:pPr>
      <w:rPr>
        <w:rFonts w:hint="default"/>
        <w:lang w:val="en-US" w:eastAsia="en-US" w:bidi="ar-SA"/>
      </w:rPr>
    </w:lvl>
    <w:lvl w:ilvl="7" w:tplc="0994C022">
      <w:numFmt w:val="bullet"/>
      <w:lvlText w:val="•"/>
      <w:lvlJc w:val="left"/>
      <w:pPr>
        <w:ind w:left="2557" w:hanging="149"/>
      </w:pPr>
      <w:rPr>
        <w:rFonts w:hint="default"/>
        <w:lang w:val="en-US" w:eastAsia="en-US" w:bidi="ar-SA"/>
      </w:rPr>
    </w:lvl>
    <w:lvl w:ilvl="8" w:tplc="52F60840">
      <w:numFmt w:val="bullet"/>
      <w:lvlText w:val="•"/>
      <w:lvlJc w:val="left"/>
      <w:pPr>
        <w:ind w:left="2916" w:hanging="149"/>
      </w:pPr>
      <w:rPr>
        <w:rFonts w:hint="default"/>
        <w:lang w:val="en-US" w:eastAsia="en-US" w:bidi="ar-SA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F6E"/>
    <w:rsid w:val="0001062F"/>
    <w:rsid w:val="000226F7"/>
    <w:rsid w:val="0004380C"/>
    <w:rsid w:val="00053066"/>
    <w:rsid w:val="000621B4"/>
    <w:rsid w:val="00136741"/>
    <w:rsid w:val="00155963"/>
    <w:rsid w:val="001802EA"/>
    <w:rsid w:val="002715CA"/>
    <w:rsid w:val="00273302"/>
    <w:rsid w:val="00294F59"/>
    <w:rsid w:val="002E4DC6"/>
    <w:rsid w:val="003C26E0"/>
    <w:rsid w:val="00484E3E"/>
    <w:rsid w:val="00520CB1"/>
    <w:rsid w:val="00525313"/>
    <w:rsid w:val="00555EC8"/>
    <w:rsid w:val="005753D4"/>
    <w:rsid w:val="005B68B1"/>
    <w:rsid w:val="005D5079"/>
    <w:rsid w:val="005D6C77"/>
    <w:rsid w:val="005F6CFD"/>
    <w:rsid w:val="00604FE4"/>
    <w:rsid w:val="00647514"/>
    <w:rsid w:val="006B3486"/>
    <w:rsid w:val="00745ECD"/>
    <w:rsid w:val="007852BF"/>
    <w:rsid w:val="00792F83"/>
    <w:rsid w:val="007F692A"/>
    <w:rsid w:val="0084524A"/>
    <w:rsid w:val="008C01B0"/>
    <w:rsid w:val="00930B1A"/>
    <w:rsid w:val="00953E91"/>
    <w:rsid w:val="00A30D85"/>
    <w:rsid w:val="00AC3C70"/>
    <w:rsid w:val="00AD1A17"/>
    <w:rsid w:val="00AE50D0"/>
    <w:rsid w:val="00AF2374"/>
    <w:rsid w:val="00B10309"/>
    <w:rsid w:val="00B120F5"/>
    <w:rsid w:val="00B31491"/>
    <w:rsid w:val="00B66C31"/>
    <w:rsid w:val="00B73A72"/>
    <w:rsid w:val="00BB56B3"/>
    <w:rsid w:val="00C01229"/>
    <w:rsid w:val="00C436E5"/>
    <w:rsid w:val="00C81D76"/>
    <w:rsid w:val="00C9446A"/>
    <w:rsid w:val="00CD3C90"/>
    <w:rsid w:val="00D6110D"/>
    <w:rsid w:val="00D66F6E"/>
    <w:rsid w:val="00D74675"/>
    <w:rsid w:val="00D77CE2"/>
    <w:rsid w:val="00DD206D"/>
    <w:rsid w:val="00DD2B4B"/>
    <w:rsid w:val="00E27999"/>
    <w:rsid w:val="00EA368E"/>
    <w:rsid w:val="00EB5BDF"/>
    <w:rsid w:val="00F143EA"/>
    <w:rsid w:val="00FE7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934B8C"/>
  <w15:docId w15:val="{E4770179-91B7-4A63-9AEC-DF5D8279C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  <w:style w:type="paragraph" w:styleId="Header">
    <w:name w:val="header"/>
    <w:basedOn w:val="Normal"/>
    <w:link w:val="HeaderChar"/>
    <w:unhideWhenUsed/>
    <w:rsid w:val="00953E9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3E91"/>
  </w:style>
  <w:style w:type="paragraph" w:styleId="Footer">
    <w:name w:val="footer"/>
    <w:basedOn w:val="Normal"/>
    <w:link w:val="FooterChar"/>
    <w:uiPriority w:val="99"/>
    <w:unhideWhenUsed/>
    <w:rsid w:val="00953E9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3E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2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Annexure-I Clarification No III.xlsx</vt:lpstr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Annexure-I Clarification No III.xlsx</dc:title>
  <dc:creator>60001767</dc:creator>
  <cp:lastModifiedBy>Ankit Vaishnav </cp:lastModifiedBy>
  <cp:revision>34</cp:revision>
  <cp:lastPrinted>2024-11-20T11:54:00Z</cp:lastPrinted>
  <dcterms:created xsi:type="dcterms:W3CDTF">2024-11-19T09:53:00Z</dcterms:created>
  <dcterms:modified xsi:type="dcterms:W3CDTF">2024-11-21T06:33:00Z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2023-08-25T00:00:00Z</vt:filetime>
  </property>
  <property fmtid="{D5CDD505-2E9C-101B-9397-08002B2CF9AE}" pid="3" name="LastSaved">
    <vt:filetime>2023-08-25T00:00:00Z</vt:filetime>
  </property>
  <property fmtid="{D5CDD505-2E9C-101B-9397-08002B2CF9AE}" pid="4" name="Producer">
    <vt:lpwstr>Microsoft: Print To PDF</vt:lpwstr>
  </property>
</Properties>
</file>